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bidi w:val="1"/>
      </w:pPr>
      <w:r>
        <w:rPr>
          <w:b/>
          <w:sz w:val="40"/>
          <w:rtl w:val="1"/>
        </w:rPr>
        <w:t>جامعة النور</w:t>
      </w:r>
    </w:p>
    <w:p>
      <w:pPr>
        <w:jc w:val="center"/>
        <w:bidi w:val="1"/>
      </w:pPr>
      <w:r>
        <w:rPr>
          <w:b/>
          <w:sz w:val="46"/>
          <w:rtl w:val="1"/>
        </w:rPr>
        <w:t>كلية التقنيات الإدارية</w:t>
      </w:r>
    </w:p>
    <w:p>
      <w:pPr>
        <w:jc w:val="center"/>
        <w:bidi w:val="1"/>
      </w:pPr>
      <w:r>
        <w:rPr>
          <w:b/>
          <w:sz w:val="36"/>
          <w:rtl w:val="1"/>
        </w:rPr>
        <w:t>الخطة الاستراتيجية للسنوات 2026–2030</w:t>
      </w:r>
    </w:p>
    <w:p/>
    <w:p>
      <w:pPr>
        <w:jc w:val="center"/>
        <w:bidi w:val="1"/>
      </w:pPr>
      <w:r>
        <w:rPr>
          <w:b w:val="0"/>
          <w:rtl w:val="1"/>
        </w:rPr>
        <w:t>وثيقة تخطيطية مقترحة قابلة للمراجعة والاعتماد المؤسسي</w:t>
      </w:r>
    </w:p>
    <w:p>
      <w:r>
        <w:br w:type="page"/>
      </w:r>
    </w:p>
    <w:p>
      <w:pPr>
        <w:pStyle w:val="Heading1"/>
      </w:pPr>
      <w:r>
        <w:t>1. المقدمة</w:t>
      </w:r>
    </w:p>
    <w:p>
      <w:pPr>
        <w:jc w:val="right"/>
        <w:bidi w:val="1"/>
      </w:pPr>
      <w:r>
        <w:rPr>
          <w:b w:val="0"/>
          <w:rtl w:val="1"/>
        </w:rPr>
        <w:t>تحدد هذه الخطة التوجهات الاستراتيجية لـكلية التقنيات الإدارية في جامعة النور خلال السنوات 2026–2030، وتستهدف تطوير جودة التعليم، وتعزيز البحث العلمي، وتنمية قدرات الملاكات، وتحسين البنية التحتية، وتوسيع الشراكات وخدمة المجتمع. وتُعد الخطة إطاراً لتوجيه الخطط التشغيلية السنوية وربط الموارد بالأولويات ومؤشرات الأداء.</w:t>
      </w:r>
    </w:p>
    <w:p>
      <w:pPr>
        <w:jc w:val="right"/>
        <w:bidi w:val="1"/>
      </w:pPr>
      <w:r>
        <w:rPr>
          <w:b w:val="0"/>
          <w:rtl w:val="1"/>
        </w:rPr>
        <w:t>هذه المسودة أولية، ويجب استكمالها ببيانات خط الأساس الفعلية ومراجعتها مع الأقسام العلمية واللجان المختصة ورئاسة الجامعة قبل اعتمادها.</w:t>
      </w:r>
    </w:p>
    <w:p>
      <w:pPr>
        <w:pStyle w:val="Heading1"/>
      </w:pPr>
      <w:r>
        <w:t>2. الرؤية والرسالة والقيم</w:t>
      </w:r>
    </w:p>
    <w:p>
      <w:pPr>
        <w:pStyle w:val="Heading2"/>
      </w:pPr>
      <w:r>
        <w:t>2.1 الرؤية</w:t>
      </w:r>
    </w:p>
    <w:p>
      <w:pPr>
        <w:jc w:val="right"/>
        <w:bidi w:val="1"/>
      </w:pPr>
      <w:r>
        <w:rPr>
          <w:b w:val="0"/>
          <w:rtl w:val="1"/>
        </w:rPr>
        <w:t>التميز والريادة في التعليم الإداري والتقني وإعداد كفاءات قادرة على قيادة التطوير المؤسسي والتحول الرقمي والاستجابة لمتطلبات سوق العمل.</w:t>
      </w:r>
    </w:p>
    <w:p>
      <w:pPr>
        <w:pStyle w:val="Heading2"/>
      </w:pPr>
      <w:r>
        <w:t>2.2 الرسالة</w:t>
      </w:r>
    </w:p>
    <w:p>
      <w:pPr>
        <w:jc w:val="right"/>
        <w:bidi w:val="1"/>
      </w:pPr>
      <w:r>
        <w:rPr>
          <w:b w:val="0"/>
          <w:rtl w:val="1"/>
        </w:rPr>
        <w:t>تقديم تعليم إداري تطبيقي عالي الجودة، يجمع بين المعرفة الإدارية والمهارات الرقمية والتحليلية والقيادية، ويعزز البحث العلمي وخدمة المجتمع والشراكة مع مؤسسات الأعمال.</w:t>
      </w:r>
    </w:p>
    <w:p>
      <w:pPr>
        <w:pStyle w:val="Heading2"/>
      </w:pPr>
      <w:r>
        <w:t>2.3 القيم المؤسسية</w:t>
      </w:r>
    </w:p>
    <w:p>
      <w:pPr>
        <w:jc w:val="right"/>
        <w:bidi w:val="1"/>
      </w:pPr>
      <w:r>
        <w:rPr>
          <w:b w:val="0"/>
          <w:rtl w:val="1"/>
        </w:rPr>
        <w:t>الجودة، النزاهة، المسؤولية، الابتكار، الشفافية، العمل الجماعي، التعلم المستمر، والاستدامة.</w:t>
      </w:r>
    </w:p>
    <w:p>
      <w:pPr>
        <w:pStyle w:val="Heading1"/>
      </w:pPr>
      <w:r>
        <w:t>3. منهجية إعداد الخطة</w:t>
      </w:r>
    </w:p>
    <w:p>
      <w:pPr>
        <w:jc w:val="right"/>
        <w:bidi w:val="1"/>
      </w:pPr>
      <w:r>
        <w:rPr>
          <w:b w:val="0"/>
          <w:rtl w:val="1"/>
        </w:rPr>
        <w:t>تعتمد الخطة على تحليل البيئة الداخلية والخارجية، ومراجعة رسالة الجامعة والكلية، واستطلاع آراء الطلبة والخريجين وأرباب العمل، ثم تحديد الأولويات والمبادرات ومؤشرات القياس. وتُراجع المؤشرات سنوياً، وتُحدّث المستهدفات عند توفر بيانات موثوقة.</w:t>
      </w:r>
    </w:p>
    <w:p>
      <w:pPr>
        <w:jc w:val="right"/>
        <w:bidi w:val="1"/>
      </w:pPr>
      <w:r>
        <w:rPr>
          <w:b w:val="0"/>
          <w:rtl w:val="1"/>
        </w:rPr>
        <w:t>مصادر البيانات المقترحة: سجلات القبول والتخرج، نتائج تقييم الطلبة، تقارير الجودة، بيانات البحث العلمي، جرد المختبرات أو الأنظمة، استبيانات أصحاب المصلحة، وسجلات الموارد البشرية والمالية.</w:t>
      </w:r>
    </w:p>
    <w:p>
      <w:pPr>
        <w:pStyle w:val="Heading1"/>
      </w:pPr>
      <w:r>
        <w:t>4. تحليل البيئة الاستراتيجية (SWOT)</w:t>
      </w:r>
    </w:p>
    <w:tbl>
      <w:tblPr>
        <w:tblStyle w:val="TableGrid"/>
        <w:tblW w:type="auto" w:w="0"/>
        <w:jc w:val="center"/>
        <w:tblLook w:firstColumn="1" w:firstRow="1" w:lastColumn="0" w:lastRow="0" w:noHBand="0" w:noVBand="1" w:val="04A0"/>
      </w:tblPr>
      <w:tblGrid>
        <w:gridCol w:w="5040"/>
        <w:gridCol w:w="5040"/>
      </w:tblGrid>
      <w:tr>
        <w:tc>
          <w:tcPr>
            <w:tcW w:type="dxa" w:w="5040"/>
            <w:shd w:fill="1F4E79"/>
          </w:tcPr>
          <w:p>
            <w:pPr>
              <w:jc w:val="center"/>
              <w:bidi w:val="1"/>
            </w:pPr>
            <w:r>
              <w:rPr>
                <w:b/>
                <w:color w:val="FFFFFF"/>
                <w:rtl w:val="1"/>
              </w:rPr>
              <w:t>العنصر</w:t>
            </w:r>
          </w:p>
        </w:tc>
        <w:tc>
          <w:tcPr>
            <w:tcW w:type="dxa" w:w="5040"/>
            <w:shd w:fill="1F4E79"/>
          </w:tcPr>
          <w:p>
            <w:pPr>
              <w:jc w:val="center"/>
              <w:bidi w:val="1"/>
            </w:pPr>
            <w:r>
              <w:rPr>
                <w:b/>
                <w:color w:val="FFFFFF"/>
                <w:rtl w:val="1"/>
              </w:rPr>
              <w:t>التحليل الأولي</w:t>
            </w:r>
          </w:p>
        </w:tc>
      </w:tr>
      <w:tr>
        <w:tc>
          <w:tcPr>
            <w:tcW w:type="dxa" w:w="5040"/>
            <w:vAlign w:val="center"/>
          </w:tcPr>
          <w:p>
            <w:pPr>
              <w:jc w:val="right"/>
              <w:bidi w:val="1"/>
            </w:pPr>
            <w:r>
              <w:rPr>
                <w:rtl w:val="1"/>
              </w:rPr>
              <w:t>نقاط القوة</w:t>
            </w:r>
          </w:p>
        </w:tc>
        <w:tc>
          <w:tcPr>
            <w:tcW w:type="dxa" w:w="5040"/>
            <w:vAlign w:val="center"/>
          </w:tcPr>
          <w:p>
            <w:pPr>
              <w:jc w:val="right"/>
              <w:bidi w:val="1"/>
            </w:pPr>
            <w:r>
              <w:rPr>
                <w:rtl w:val="1"/>
              </w:rPr>
              <w:t>إمكانية الجمع بين العلوم الإدارية والتطبيقات الرقمية؛ قابلية تطوير برامج مرتبطة باحتياجات المؤسسات؛ فرص المشاريع الطلابية التطبيقية.</w:t>
            </w:r>
          </w:p>
        </w:tc>
      </w:tr>
      <w:tr>
        <w:tc>
          <w:tcPr>
            <w:tcW w:type="dxa" w:w="5040"/>
            <w:vAlign w:val="center"/>
          </w:tcPr>
          <w:p>
            <w:pPr>
              <w:jc w:val="right"/>
              <w:bidi w:val="1"/>
            </w:pPr>
            <w:r>
              <w:rPr>
                <w:rtl w:val="1"/>
              </w:rPr>
              <w:t>نقاط الضعف</w:t>
            </w:r>
          </w:p>
        </w:tc>
        <w:tc>
          <w:tcPr>
            <w:tcW w:type="dxa" w:w="5040"/>
            <w:vAlign w:val="center"/>
          </w:tcPr>
          <w:p>
            <w:pPr>
              <w:jc w:val="right"/>
              <w:bidi w:val="1"/>
            </w:pPr>
            <w:r>
              <w:rPr>
                <w:rtl w:val="1"/>
              </w:rPr>
              <w:t>الحاجة إلى قياس مواءمة المناهج لسوق العمل؛ تفاوت محتمل في فرص التدريب العملي؛ الحاجة إلى تعزيز قواعد البيانات والبحث التطبيقي.</w:t>
            </w:r>
          </w:p>
        </w:tc>
      </w:tr>
      <w:tr>
        <w:tc>
          <w:tcPr>
            <w:tcW w:type="dxa" w:w="5040"/>
            <w:vAlign w:val="center"/>
          </w:tcPr>
          <w:p>
            <w:pPr>
              <w:jc w:val="right"/>
              <w:bidi w:val="1"/>
            </w:pPr>
            <w:r>
              <w:rPr>
                <w:rtl w:val="1"/>
              </w:rPr>
              <w:t>الفرص</w:t>
            </w:r>
          </w:p>
        </w:tc>
        <w:tc>
          <w:tcPr>
            <w:tcW w:type="dxa" w:w="5040"/>
            <w:vAlign w:val="center"/>
          </w:tcPr>
          <w:p>
            <w:pPr>
              <w:jc w:val="right"/>
              <w:bidi w:val="1"/>
            </w:pPr>
            <w:r>
              <w:rPr>
                <w:rtl w:val="1"/>
              </w:rPr>
              <w:t>التحول الرقمي؛ نمو التجارة الإلكترونية؛ الحاجة إلى تحليل البيانات وإدارة المشاريع والموارد البشرية؛ الشراكات مع القطاعين العام والخاص.</w:t>
            </w:r>
          </w:p>
        </w:tc>
      </w:tr>
      <w:tr>
        <w:tc>
          <w:tcPr>
            <w:tcW w:type="dxa" w:w="5040"/>
            <w:vAlign w:val="center"/>
          </w:tcPr>
          <w:p>
            <w:pPr>
              <w:jc w:val="right"/>
              <w:bidi w:val="1"/>
            </w:pPr>
            <w:r>
              <w:rPr>
                <w:rtl w:val="1"/>
              </w:rPr>
              <w:t>التهديدات</w:t>
            </w:r>
          </w:p>
        </w:tc>
        <w:tc>
          <w:tcPr>
            <w:tcW w:type="dxa" w:w="5040"/>
            <w:vAlign w:val="center"/>
          </w:tcPr>
          <w:p>
            <w:pPr>
              <w:jc w:val="right"/>
              <w:bidi w:val="1"/>
            </w:pPr>
            <w:r>
              <w:rPr>
                <w:rtl w:val="1"/>
              </w:rPr>
              <w:t>التغير السريع في المهارات المطلوبة؛ المنافسة بين المؤسسات التعليمية؛ تقلبات الاقتصاد وتكاليف البرمجيات والتدريب.</w:t>
            </w:r>
          </w:p>
        </w:tc>
      </w:tr>
    </w:tbl>
    <w:p/>
    <w:p>
      <w:pPr>
        <w:jc w:val="right"/>
        <w:bidi w:val="1"/>
      </w:pPr>
      <w:r>
        <w:rPr>
          <w:b w:val="0"/>
          <w:rtl w:val="1"/>
        </w:rPr>
        <w:t>ملاحظة: التحليل أعلاه استرشادي ويحتاج إلى التحقق بالأدلة والبيانات الفعلية قبل اعتماده.</w:t>
      </w:r>
    </w:p>
    <w:p>
      <w:pPr>
        <w:pStyle w:val="Heading1"/>
      </w:pPr>
      <w:r>
        <w:t>5. الأهداف الاستراتيجية</w:t>
      </w:r>
    </w:p>
    <w:p>
      <w:pPr>
        <w:pStyle w:val="Heading2"/>
      </w:pPr>
      <w:r>
        <w:t>1. تطوير البرامج والمناهج الإدارية</w:t>
      </w:r>
    </w:p>
    <w:p>
      <w:pPr>
        <w:pStyle w:val="ListBullet"/>
        <w:jc w:val="right"/>
        <w:bidi w:val="1"/>
      </w:pPr>
      <w:r>
        <w:rPr>
          <w:rtl w:val="1"/>
        </w:rPr>
        <w:t>مراجعة المناهج بصورة دورية وربطها بمخرجات تعلم قابلة للقياس.</w:t>
      </w:r>
    </w:p>
    <w:p>
      <w:pPr>
        <w:pStyle w:val="ListBullet"/>
        <w:jc w:val="right"/>
        <w:bidi w:val="1"/>
      </w:pPr>
      <w:r>
        <w:rPr>
          <w:rtl w:val="1"/>
        </w:rPr>
        <w:t>تعزيز دراسات الحالة والمشاريع الجماعية والمحاكاة الإدارية.</w:t>
      </w:r>
    </w:p>
    <w:p>
      <w:pPr>
        <w:pStyle w:val="ListBullet"/>
        <w:jc w:val="right"/>
        <w:bidi w:val="1"/>
      </w:pPr>
      <w:r>
        <w:rPr>
          <w:rtl w:val="1"/>
        </w:rPr>
        <w:t>تضمين مهارات التحليل واتخاذ القرار والاتصال المهني وريادة الأعمال.</w:t>
      </w:r>
    </w:p>
    <w:p>
      <w:pPr>
        <w:pStyle w:val="Heading2"/>
      </w:pPr>
      <w:r>
        <w:t>2. الجودة والاعتماد الأكاديمي</w:t>
      </w:r>
    </w:p>
    <w:p>
      <w:pPr>
        <w:pStyle w:val="ListBullet"/>
        <w:jc w:val="right"/>
        <w:bidi w:val="1"/>
      </w:pPr>
      <w:r>
        <w:rPr>
          <w:rtl w:val="1"/>
        </w:rPr>
        <w:t>تفعيل التقييم الذاتي والتحسين المستمر على مستوى البرامج.</w:t>
      </w:r>
    </w:p>
    <w:p>
      <w:pPr>
        <w:pStyle w:val="ListBullet"/>
        <w:jc w:val="right"/>
        <w:bidi w:val="1"/>
      </w:pPr>
      <w:r>
        <w:rPr>
          <w:rtl w:val="1"/>
        </w:rPr>
        <w:t>توثيق مخرجات التعلم ونتائج تقييم الطلبة والخريجين.</w:t>
      </w:r>
    </w:p>
    <w:p>
      <w:pPr>
        <w:pStyle w:val="ListBullet"/>
        <w:jc w:val="right"/>
        <w:bidi w:val="1"/>
      </w:pPr>
      <w:r>
        <w:rPr>
          <w:rtl w:val="1"/>
        </w:rPr>
        <w:t>متابعة ملاحظات الطلبة وأرباب العمل وتنفيذ إجراءات تصحيحية.</w:t>
      </w:r>
    </w:p>
    <w:p>
      <w:pPr>
        <w:pStyle w:val="Heading2"/>
      </w:pPr>
      <w:r>
        <w:t>3. التحول الرقمي والمهارات التحليلية</w:t>
      </w:r>
    </w:p>
    <w:p>
      <w:pPr>
        <w:pStyle w:val="ListBullet"/>
        <w:jc w:val="right"/>
        <w:bidi w:val="1"/>
      </w:pPr>
      <w:r>
        <w:rPr>
          <w:rtl w:val="1"/>
        </w:rPr>
        <w:t>تعزيز استخدام أنظمة إدارة التعلم وأدوات تحليل البيانات.</w:t>
      </w:r>
    </w:p>
    <w:p>
      <w:pPr>
        <w:pStyle w:val="ListBullet"/>
        <w:jc w:val="right"/>
        <w:bidi w:val="1"/>
      </w:pPr>
      <w:r>
        <w:rPr>
          <w:rtl w:val="1"/>
        </w:rPr>
        <w:t>تطوير مهارات الطلبة في التطبيقات المكتبية وقواعد البيانات وأدوات ذكاء الأعمال حسب التخصص.</w:t>
      </w:r>
    </w:p>
    <w:p>
      <w:pPr>
        <w:pStyle w:val="ListBullet"/>
        <w:jc w:val="right"/>
        <w:bidi w:val="1"/>
      </w:pPr>
      <w:r>
        <w:rPr>
          <w:rtl w:val="1"/>
        </w:rPr>
        <w:t>تشجيع مشاريع تطبيقية في أتمتة الإجراءات وتحسين الخدمات.</w:t>
      </w:r>
    </w:p>
    <w:p>
      <w:pPr>
        <w:pStyle w:val="Heading2"/>
      </w:pPr>
      <w:r>
        <w:t>4. البحث العلمي والاستشارات</w:t>
      </w:r>
    </w:p>
    <w:p>
      <w:pPr>
        <w:pStyle w:val="ListBullet"/>
        <w:jc w:val="right"/>
        <w:bidi w:val="1"/>
      </w:pPr>
      <w:r>
        <w:rPr>
          <w:rtl w:val="1"/>
        </w:rPr>
        <w:t>تشجيع البحوث التطبيقية في الإدارة والاقتصاد وريادة الأعمال.</w:t>
      </w:r>
    </w:p>
    <w:p>
      <w:pPr>
        <w:pStyle w:val="ListBullet"/>
        <w:jc w:val="right"/>
        <w:bidi w:val="1"/>
      </w:pPr>
      <w:r>
        <w:rPr>
          <w:rtl w:val="1"/>
        </w:rPr>
        <w:t>تطوير مشاريع مشتركة مع مؤسسات الأعمال والقطاع العام.</w:t>
      </w:r>
    </w:p>
    <w:p>
      <w:pPr>
        <w:pStyle w:val="ListBullet"/>
        <w:jc w:val="right"/>
        <w:bidi w:val="1"/>
      </w:pPr>
      <w:r>
        <w:rPr>
          <w:rtl w:val="1"/>
        </w:rPr>
        <w:t>تنظيم ندوات علمية ونشر ملخصات بحثية قابلة للتطبيق.</w:t>
      </w:r>
    </w:p>
    <w:p>
      <w:pPr>
        <w:pStyle w:val="Heading2"/>
      </w:pPr>
      <w:r>
        <w:t>5. تنمية قدرات الملاكات</w:t>
      </w:r>
    </w:p>
    <w:p>
      <w:pPr>
        <w:pStyle w:val="ListBullet"/>
        <w:jc w:val="right"/>
        <w:bidi w:val="1"/>
      </w:pPr>
      <w:r>
        <w:rPr>
          <w:rtl w:val="1"/>
        </w:rPr>
        <w:t>تنفيذ برامج في التدريس الحديث والتقنيات الرقمية والبحث العلمي.</w:t>
      </w:r>
    </w:p>
    <w:p>
      <w:pPr>
        <w:pStyle w:val="ListBullet"/>
        <w:jc w:val="right"/>
        <w:bidi w:val="1"/>
      </w:pPr>
      <w:r>
        <w:rPr>
          <w:rtl w:val="1"/>
        </w:rPr>
        <w:t>تشجيع المشاركة في المؤتمرات والدورات التخصصية.</w:t>
      </w:r>
    </w:p>
    <w:p>
      <w:pPr>
        <w:pStyle w:val="ListBullet"/>
        <w:jc w:val="right"/>
        <w:bidi w:val="1"/>
      </w:pPr>
      <w:r>
        <w:rPr>
          <w:rtl w:val="1"/>
        </w:rPr>
        <w:t>تبادل الخبرات بين الأقسام والوحدات الإدارية.</w:t>
      </w:r>
    </w:p>
    <w:p>
      <w:pPr>
        <w:pStyle w:val="Heading2"/>
      </w:pPr>
      <w:r>
        <w:t>6. الشراكة مع سوق العمل</w:t>
      </w:r>
    </w:p>
    <w:p>
      <w:pPr>
        <w:pStyle w:val="ListBullet"/>
        <w:jc w:val="right"/>
        <w:bidi w:val="1"/>
      </w:pPr>
      <w:r>
        <w:rPr>
          <w:rtl w:val="1"/>
        </w:rPr>
        <w:t>توسيع فرص التدريب العملي وزيارات المؤسسات.</w:t>
      </w:r>
    </w:p>
    <w:p>
      <w:pPr>
        <w:pStyle w:val="ListBullet"/>
        <w:jc w:val="right"/>
        <w:bidi w:val="1"/>
      </w:pPr>
      <w:r>
        <w:rPr>
          <w:rtl w:val="1"/>
        </w:rPr>
        <w:t>استطلاع آراء أرباب العمل والخريجين حول المهارات المطلوبة.</w:t>
      </w:r>
    </w:p>
    <w:p>
      <w:pPr>
        <w:pStyle w:val="ListBullet"/>
        <w:jc w:val="right"/>
        <w:bidi w:val="1"/>
      </w:pPr>
      <w:r>
        <w:rPr>
          <w:rtl w:val="1"/>
        </w:rPr>
        <w:t>إنشاء مشاريع تخرج بالتعاون مع مؤسسات فعلية.</w:t>
      </w:r>
    </w:p>
    <w:p>
      <w:pPr>
        <w:pStyle w:val="Heading2"/>
      </w:pPr>
      <w:r>
        <w:t>7. ريادة الأعمال وخدمة المجتمع</w:t>
      </w:r>
    </w:p>
    <w:p>
      <w:pPr>
        <w:pStyle w:val="ListBullet"/>
        <w:jc w:val="right"/>
        <w:bidi w:val="1"/>
      </w:pPr>
      <w:r>
        <w:rPr>
          <w:rtl w:val="1"/>
        </w:rPr>
        <w:t>دعم أفكار المشاريع الصغيرة والابتكار الطلابي.</w:t>
      </w:r>
    </w:p>
    <w:p>
      <w:pPr>
        <w:pStyle w:val="ListBullet"/>
        <w:jc w:val="right"/>
        <w:bidi w:val="1"/>
      </w:pPr>
      <w:r>
        <w:rPr>
          <w:rtl w:val="1"/>
        </w:rPr>
        <w:t>تنفيذ ورش في الثقافة المالية والإدارية والتوظيف.</w:t>
      </w:r>
    </w:p>
    <w:p>
      <w:pPr>
        <w:pStyle w:val="ListBullet"/>
        <w:jc w:val="right"/>
        <w:bidi w:val="1"/>
      </w:pPr>
      <w:r>
        <w:rPr>
          <w:rtl w:val="1"/>
        </w:rPr>
        <w:t>تقديم مبادرات تطوعية لتحسين الأداء الإداري في المجتمع.</w:t>
      </w:r>
    </w:p>
    <w:p>
      <w:pPr>
        <w:pStyle w:val="Heading2"/>
      </w:pPr>
      <w:r>
        <w:t>8. دعم الطلبة والخريجين</w:t>
      </w:r>
    </w:p>
    <w:p>
      <w:pPr>
        <w:pStyle w:val="ListBullet"/>
        <w:jc w:val="right"/>
        <w:bidi w:val="1"/>
      </w:pPr>
      <w:r>
        <w:rPr>
          <w:rtl w:val="1"/>
        </w:rPr>
        <w:t>تفعيل الإرشاد الأكاديمي ومتابعة الطلبة المتعثرين.</w:t>
      </w:r>
    </w:p>
    <w:p>
      <w:pPr>
        <w:pStyle w:val="ListBullet"/>
        <w:jc w:val="right"/>
        <w:bidi w:val="1"/>
      </w:pPr>
      <w:r>
        <w:rPr>
          <w:rtl w:val="1"/>
        </w:rPr>
        <w:t>تعزيز مهارات كتابة السيرة الذاتية والمقابلات والعمل الجماعي.</w:t>
      </w:r>
    </w:p>
    <w:p>
      <w:pPr>
        <w:pStyle w:val="ListBullet"/>
        <w:jc w:val="right"/>
        <w:bidi w:val="1"/>
      </w:pPr>
      <w:r>
        <w:rPr>
          <w:rtl w:val="1"/>
        </w:rPr>
        <w:t>إنشاء آلية لتتبع الخريجين وقياس انتقالهم إلى سوق العمل.</w:t>
      </w:r>
    </w:p>
    <w:p>
      <w:pPr>
        <w:pStyle w:val="Heading1"/>
      </w:pPr>
      <w:r>
        <w:t>6. مؤشرات الأداء والمستهدفات</w:t>
      </w:r>
    </w:p>
    <w:p>
      <w:pPr>
        <w:jc w:val="right"/>
        <w:bidi w:val="1"/>
      </w:pPr>
      <w:r>
        <w:rPr>
          <w:b w:val="0"/>
          <w:rtl w:val="1"/>
        </w:rPr>
        <w:t>المستهدفات أدناه مقترحة لأغراض التخطيط وليست نتائج فعلية. ينبغي تثبيت خط الأساس خلال السنة الأولى ومراجعتها وفق الإمكانات والاعتمادات الرسمية.</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shd w:fill="1F4E79"/>
          </w:tcPr>
          <w:p>
            <w:pPr>
              <w:jc w:val="center"/>
              <w:bidi w:val="1"/>
            </w:pPr>
            <w:r>
              <w:rPr>
                <w:b/>
                <w:color w:val="FFFFFF"/>
                <w:rtl w:val="1"/>
              </w:rPr>
              <w:t>المجال</w:t>
            </w:r>
          </w:p>
        </w:tc>
        <w:tc>
          <w:tcPr>
            <w:tcW w:type="dxa" w:w="2016"/>
            <w:shd w:fill="1F4E79"/>
          </w:tcPr>
          <w:p>
            <w:pPr>
              <w:jc w:val="center"/>
              <w:bidi w:val="1"/>
            </w:pPr>
            <w:r>
              <w:rPr>
                <w:b/>
                <w:color w:val="FFFFFF"/>
                <w:rtl w:val="1"/>
              </w:rPr>
              <w:t>مؤشر الأداء</w:t>
            </w:r>
          </w:p>
        </w:tc>
        <w:tc>
          <w:tcPr>
            <w:tcW w:type="dxa" w:w="2016"/>
            <w:shd w:fill="1F4E79"/>
          </w:tcPr>
          <w:p>
            <w:pPr>
              <w:jc w:val="center"/>
              <w:bidi w:val="1"/>
            </w:pPr>
            <w:r>
              <w:rPr>
                <w:b/>
                <w:color w:val="FFFFFF"/>
                <w:rtl w:val="1"/>
              </w:rPr>
              <w:t>المستهدف المقترح</w:t>
            </w:r>
          </w:p>
        </w:tc>
        <w:tc>
          <w:tcPr>
            <w:tcW w:type="dxa" w:w="2016"/>
            <w:shd w:fill="1F4E79"/>
          </w:tcPr>
          <w:p>
            <w:pPr>
              <w:jc w:val="center"/>
              <w:bidi w:val="1"/>
            </w:pPr>
            <w:r>
              <w:rPr>
                <w:b/>
                <w:color w:val="FFFFFF"/>
                <w:rtl w:val="1"/>
              </w:rPr>
              <w:t>مصدر التحقق</w:t>
            </w:r>
          </w:p>
        </w:tc>
        <w:tc>
          <w:tcPr>
            <w:tcW w:type="dxa" w:w="2016"/>
            <w:shd w:fill="1F4E79"/>
          </w:tcPr>
          <w:p>
            <w:pPr>
              <w:jc w:val="center"/>
              <w:bidi w:val="1"/>
            </w:pPr>
            <w:r>
              <w:rPr>
                <w:b/>
                <w:color w:val="FFFFFF"/>
                <w:rtl w:val="1"/>
              </w:rPr>
              <w:t>المسؤول المقترح</w:t>
            </w:r>
          </w:p>
        </w:tc>
      </w:tr>
      <w:tr>
        <w:tc>
          <w:tcPr>
            <w:tcW w:type="dxa" w:w="2016"/>
            <w:vAlign w:val="center"/>
          </w:tcPr>
          <w:p>
            <w:pPr>
              <w:jc w:val="right"/>
              <w:bidi w:val="1"/>
            </w:pPr>
            <w:r>
              <w:rPr>
                <w:rtl w:val="1"/>
              </w:rPr>
              <w:t>المناهج</w:t>
            </w:r>
          </w:p>
        </w:tc>
        <w:tc>
          <w:tcPr>
            <w:tcW w:type="dxa" w:w="2016"/>
            <w:vAlign w:val="center"/>
          </w:tcPr>
          <w:p>
            <w:pPr>
              <w:jc w:val="right"/>
              <w:bidi w:val="1"/>
            </w:pPr>
            <w:r>
              <w:rPr>
                <w:rtl w:val="1"/>
              </w:rPr>
              <w:t>نسبة البرامج التي تمت مراجعتها</w:t>
            </w:r>
          </w:p>
        </w:tc>
        <w:tc>
          <w:tcPr>
            <w:tcW w:type="dxa" w:w="2016"/>
            <w:vAlign w:val="center"/>
          </w:tcPr>
          <w:p>
            <w:pPr>
              <w:jc w:val="right"/>
              <w:bidi w:val="1"/>
            </w:pPr>
            <w:r>
              <w:rPr>
                <w:rtl w:val="1"/>
              </w:rPr>
              <w:t>100% بحلول 2030</w:t>
            </w:r>
          </w:p>
        </w:tc>
        <w:tc>
          <w:tcPr>
            <w:tcW w:type="dxa" w:w="2016"/>
            <w:vAlign w:val="center"/>
          </w:tcPr>
          <w:p>
            <w:pPr>
              <w:jc w:val="right"/>
              <w:bidi w:val="1"/>
            </w:pPr>
            <w:r>
              <w:rPr>
                <w:rtl w:val="1"/>
              </w:rPr>
              <w:t>محاضر اللجان وتوصيف البرامج</w:t>
            </w:r>
          </w:p>
        </w:tc>
        <w:tc>
          <w:tcPr>
            <w:tcW w:type="dxa" w:w="2016"/>
            <w:vAlign w:val="center"/>
          </w:tcPr>
          <w:p>
            <w:pPr>
              <w:jc w:val="right"/>
              <w:bidi w:val="1"/>
            </w:pPr>
            <w:r>
              <w:rPr>
                <w:rtl w:val="1"/>
              </w:rPr>
              <w:t>رؤساء الأقسام</w:t>
            </w:r>
          </w:p>
        </w:tc>
      </w:tr>
      <w:tr>
        <w:tc>
          <w:tcPr>
            <w:tcW w:type="dxa" w:w="2016"/>
            <w:vAlign w:val="center"/>
          </w:tcPr>
          <w:p>
            <w:pPr>
              <w:jc w:val="right"/>
              <w:bidi w:val="1"/>
            </w:pPr>
            <w:r>
              <w:rPr>
                <w:rtl w:val="1"/>
              </w:rPr>
              <w:t>الجودة</w:t>
            </w:r>
          </w:p>
        </w:tc>
        <w:tc>
          <w:tcPr>
            <w:tcW w:type="dxa" w:w="2016"/>
            <w:vAlign w:val="center"/>
          </w:tcPr>
          <w:p>
            <w:pPr>
              <w:jc w:val="right"/>
              <w:bidi w:val="1"/>
            </w:pPr>
            <w:r>
              <w:rPr>
                <w:rtl w:val="1"/>
              </w:rPr>
              <w:t>الأقسام التي تنجز التقييم الذاتي السنوي</w:t>
            </w:r>
          </w:p>
        </w:tc>
        <w:tc>
          <w:tcPr>
            <w:tcW w:type="dxa" w:w="2016"/>
            <w:vAlign w:val="center"/>
          </w:tcPr>
          <w:p>
            <w:pPr>
              <w:jc w:val="right"/>
              <w:bidi w:val="1"/>
            </w:pPr>
            <w:r>
              <w:rPr>
                <w:rtl w:val="1"/>
              </w:rPr>
              <w:t>100%</w:t>
            </w:r>
          </w:p>
        </w:tc>
        <w:tc>
          <w:tcPr>
            <w:tcW w:type="dxa" w:w="2016"/>
            <w:vAlign w:val="center"/>
          </w:tcPr>
          <w:p>
            <w:pPr>
              <w:jc w:val="right"/>
              <w:bidi w:val="1"/>
            </w:pPr>
            <w:r>
              <w:rPr>
                <w:rtl w:val="1"/>
              </w:rPr>
              <w:t>تقارير الجودة</w:t>
            </w:r>
          </w:p>
        </w:tc>
        <w:tc>
          <w:tcPr>
            <w:tcW w:type="dxa" w:w="2016"/>
            <w:vAlign w:val="center"/>
          </w:tcPr>
          <w:p>
            <w:pPr>
              <w:jc w:val="right"/>
              <w:bidi w:val="1"/>
            </w:pPr>
            <w:r>
              <w:rPr>
                <w:rtl w:val="1"/>
              </w:rPr>
              <w:t>مسؤول ضمان الجودة</w:t>
            </w:r>
          </w:p>
        </w:tc>
      </w:tr>
      <w:tr>
        <w:tc>
          <w:tcPr>
            <w:tcW w:type="dxa" w:w="2016"/>
            <w:vAlign w:val="center"/>
          </w:tcPr>
          <w:p>
            <w:pPr>
              <w:jc w:val="right"/>
              <w:bidi w:val="1"/>
            </w:pPr>
            <w:r>
              <w:rPr>
                <w:rtl w:val="1"/>
              </w:rPr>
              <w:t>التطوير المهني</w:t>
            </w:r>
          </w:p>
        </w:tc>
        <w:tc>
          <w:tcPr>
            <w:tcW w:type="dxa" w:w="2016"/>
            <w:vAlign w:val="center"/>
          </w:tcPr>
          <w:p>
            <w:pPr>
              <w:jc w:val="right"/>
              <w:bidi w:val="1"/>
            </w:pPr>
            <w:r>
              <w:rPr>
                <w:rtl w:val="1"/>
              </w:rPr>
              <w:t>التدريسيون المشاركون في تدريب سنوي</w:t>
            </w:r>
          </w:p>
        </w:tc>
        <w:tc>
          <w:tcPr>
            <w:tcW w:type="dxa" w:w="2016"/>
            <w:vAlign w:val="center"/>
          </w:tcPr>
          <w:p>
            <w:pPr>
              <w:jc w:val="right"/>
              <w:bidi w:val="1"/>
            </w:pPr>
            <w:r>
              <w:rPr>
                <w:rtl w:val="1"/>
              </w:rPr>
              <w:t>90%</w:t>
            </w:r>
          </w:p>
        </w:tc>
        <w:tc>
          <w:tcPr>
            <w:tcW w:type="dxa" w:w="2016"/>
            <w:vAlign w:val="center"/>
          </w:tcPr>
          <w:p>
            <w:pPr>
              <w:jc w:val="right"/>
              <w:bidi w:val="1"/>
            </w:pPr>
            <w:r>
              <w:rPr>
                <w:rtl w:val="1"/>
              </w:rPr>
              <w:t>سجلات التدريب</w:t>
            </w:r>
          </w:p>
        </w:tc>
        <w:tc>
          <w:tcPr>
            <w:tcW w:type="dxa" w:w="2016"/>
            <w:vAlign w:val="center"/>
          </w:tcPr>
          <w:p>
            <w:pPr>
              <w:jc w:val="right"/>
              <w:bidi w:val="1"/>
            </w:pPr>
            <w:r>
              <w:rPr>
                <w:rtl w:val="1"/>
              </w:rPr>
              <w:t>العمادة والأقسام</w:t>
            </w:r>
          </w:p>
        </w:tc>
      </w:tr>
      <w:tr>
        <w:tc>
          <w:tcPr>
            <w:tcW w:type="dxa" w:w="2016"/>
            <w:vAlign w:val="center"/>
          </w:tcPr>
          <w:p>
            <w:pPr>
              <w:jc w:val="right"/>
              <w:bidi w:val="1"/>
            </w:pPr>
            <w:r>
              <w:rPr>
                <w:rtl w:val="1"/>
              </w:rPr>
              <w:t>التحول الرقمي</w:t>
            </w:r>
          </w:p>
        </w:tc>
        <w:tc>
          <w:tcPr>
            <w:tcW w:type="dxa" w:w="2016"/>
            <w:vAlign w:val="center"/>
          </w:tcPr>
          <w:p>
            <w:pPr>
              <w:jc w:val="right"/>
              <w:bidi w:val="1"/>
            </w:pPr>
            <w:r>
              <w:rPr>
                <w:rtl w:val="1"/>
              </w:rPr>
              <w:t>المقررات التي تستخدم منصة تعلم معتمدة</w:t>
            </w:r>
          </w:p>
        </w:tc>
        <w:tc>
          <w:tcPr>
            <w:tcW w:type="dxa" w:w="2016"/>
            <w:vAlign w:val="center"/>
          </w:tcPr>
          <w:p>
            <w:pPr>
              <w:jc w:val="right"/>
              <w:bidi w:val="1"/>
            </w:pPr>
            <w:r>
              <w:rPr>
                <w:rtl w:val="1"/>
              </w:rPr>
              <w:t>100%</w:t>
            </w:r>
          </w:p>
        </w:tc>
        <w:tc>
          <w:tcPr>
            <w:tcW w:type="dxa" w:w="2016"/>
            <w:vAlign w:val="center"/>
          </w:tcPr>
          <w:p>
            <w:pPr>
              <w:jc w:val="right"/>
              <w:bidi w:val="1"/>
            </w:pPr>
            <w:r>
              <w:rPr>
                <w:rtl w:val="1"/>
              </w:rPr>
              <w:t>تقارير المنصة</w:t>
            </w:r>
          </w:p>
        </w:tc>
        <w:tc>
          <w:tcPr>
            <w:tcW w:type="dxa" w:w="2016"/>
            <w:vAlign w:val="center"/>
          </w:tcPr>
          <w:p>
            <w:pPr>
              <w:jc w:val="right"/>
              <w:bidi w:val="1"/>
            </w:pPr>
            <w:r>
              <w:rPr>
                <w:rtl w:val="1"/>
              </w:rPr>
              <w:t>مسؤول التعليم الإلكتروني</w:t>
            </w:r>
          </w:p>
        </w:tc>
      </w:tr>
      <w:tr>
        <w:tc>
          <w:tcPr>
            <w:tcW w:type="dxa" w:w="2016"/>
            <w:vAlign w:val="center"/>
          </w:tcPr>
          <w:p>
            <w:pPr>
              <w:jc w:val="right"/>
              <w:bidi w:val="1"/>
            </w:pPr>
            <w:r>
              <w:rPr>
                <w:rtl w:val="1"/>
              </w:rPr>
              <w:t>التدريب</w:t>
            </w:r>
          </w:p>
        </w:tc>
        <w:tc>
          <w:tcPr>
            <w:tcW w:type="dxa" w:w="2016"/>
            <w:vAlign w:val="center"/>
          </w:tcPr>
          <w:p>
            <w:pPr>
              <w:jc w:val="right"/>
              <w:bidi w:val="1"/>
            </w:pPr>
            <w:r>
              <w:rPr>
                <w:rtl w:val="1"/>
              </w:rPr>
              <w:t>الطلبة المستهدفون الذين يكملون التدريب</w:t>
            </w:r>
          </w:p>
        </w:tc>
        <w:tc>
          <w:tcPr>
            <w:tcW w:type="dxa" w:w="2016"/>
            <w:vAlign w:val="center"/>
          </w:tcPr>
          <w:p>
            <w:pPr>
              <w:jc w:val="right"/>
              <w:bidi w:val="1"/>
            </w:pPr>
            <w:r>
              <w:rPr>
                <w:rtl w:val="1"/>
              </w:rPr>
              <w:t>100% من المستهدفين</w:t>
            </w:r>
          </w:p>
        </w:tc>
        <w:tc>
          <w:tcPr>
            <w:tcW w:type="dxa" w:w="2016"/>
            <w:vAlign w:val="center"/>
          </w:tcPr>
          <w:p>
            <w:pPr>
              <w:jc w:val="right"/>
              <w:bidi w:val="1"/>
            </w:pPr>
            <w:r>
              <w:rPr>
                <w:rtl w:val="1"/>
              </w:rPr>
              <w:t>تقارير التدريب</w:t>
            </w:r>
          </w:p>
        </w:tc>
        <w:tc>
          <w:tcPr>
            <w:tcW w:type="dxa" w:w="2016"/>
            <w:vAlign w:val="center"/>
          </w:tcPr>
          <w:p>
            <w:pPr>
              <w:jc w:val="right"/>
              <w:bidi w:val="1"/>
            </w:pPr>
            <w:r>
              <w:rPr>
                <w:rtl w:val="1"/>
              </w:rPr>
              <w:t>الأقسام ومسؤول التدريب</w:t>
            </w:r>
          </w:p>
        </w:tc>
      </w:tr>
      <w:tr>
        <w:tc>
          <w:tcPr>
            <w:tcW w:type="dxa" w:w="2016"/>
            <w:vAlign w:val="center"/>
          </w:tcPr>
          <w:p>
            <w:pPr>
              <w:jc w:val="right"/>
              <w:bidi w:val="1"/>
            </w:pPr>
            <w:r>
              <w:rPr>
                <w:rtl w:val="1"/>
              </w:rPr>
              <w:t>الشراكات</w:t>
            </w:r>
          </w:p>
        </w:tc>
        <w:tc>
          <w:tcPr>
            <w:tcW w:type="dxa" w:w="2016"/>
            <w:vAlign w:val="center"/>
          </w:tcPr>
          <w:p>
            <w:pPr>
              <w:jc w:val="right"/>
              <w:bidi w:val="1"/>
            </w:pPr>
            <w:r>
              <w:rPr>
                <w:rtl w:val="1"/>
              </w:rPr>
              <w:t>اتفاقيات تعاون فاعلة وموثقة</w:t>
            </w:r>
          </w:p>
        </w:tc>
        <w:tc>
          <w:tcPr>
            <w:tcW w:type="dxa" w:w="2016"/>
            <w:vAlign w:val="center"/>
          </w:tcPr>
          <w:p>
            <w:pPr>
              <w:jc w:val="right"/>
              <w:bidi w:val="1"/>
            </w:pPr>
            <w:r>
              <w:rPr>
                <w:rtl w:val="1"/>
              </w:rPr>
              <w:t>10 اتفاقيات</w:t>
            </w:r>
          </w:p>
        </w:tc>
        <w:tc>
          <w:tcPr>
            <w:tcW w:type="dxa" w:w="2016"/>
            <w:vAlign w:val="center"/>
          </w:tcPr>
          <w:p>
            <w:pPr>
              <w:jc w:val="right"/>
              <w:bidi w:val="1"/>
            </w:pPr>
            <w:r>
              <w:rPr>
                <w:rtl w:val="1"/>
              </w:rPr>
              <w:t>الاتفاقيات وتقارير الأنشطة</w:t>
            </w:r>
          </w:p>
        </w:tc>
        <w:tc>
          <w:tcPr>
            <w:tcW w:type="dxa" w:w="2016"/>
            <w:vAlign w:val="center"/>
          </w:tcPr>
          <w:p>
            <w:pPr>
              <w:jc w:val="right"/>
              <w:bidi w:val="1"/>
            </w:pPr>
            <w:r>
              <w:rPr>
                <w:rtl w:val="1"/>
              </w:rPr>
              <w:t>العمادة</w:t>
            </w:r>
          </w:p>
        </w:tc>
      </w:tr>
      <w:tr>
        <w:tc>
          <w:tcPr>
            <w:tcW w:type="dxa" w:w="2016"/>
            <w:vAlign w:val="center"/>
          </w:tcPr>
          <w:p>
            <w:pPr>
              <w:jc w:val="right"/>
              <w:bidi w:val="1"/>
            </w:pPr>
            <w:r>
              <w:rPr>
                <w:rtl w:val="1"/>
              </w:rPr>
              <w:t>البحث</w:t>
            </w:r>
          </w:p>
        </w:tc>
        <w:tc>
          <w:tcPr>
            <w:tcW w:type="dxa" w:w="2016"/>
            <w:vAlign w:val="center"/>
          </w:tcPr>
          <w:p>
            <w:pPr>
              <w:jc w:val="right"/>
              <w:bidi w:val="1"/>
            </w:pPr>
            <w:r>
              <w:rPr>
                <w:rtl w:val="1"/>
              </w:rPr>
              <w:t>زيادة البحوث المنشورة عن خط الأساس</w:t>
            </w:r>
          </w:p>
        </w:tc>
        <w:tc>
          <w:tcPr>
            <w:tcW w:type="dxa" w:w="2016"/>
            <w:vAlign w:val="center"/>
          </w:tcPr>
          <w:p>
            <w:pPr>
              <w:jc w:val="right"/>
              <w:bidi w:val="1"/>
            </w:pPr>
            <w:r>
              <w:rPr>
                <w:rtl w:val="1"/>
              </w:rPr>
              <w:t>50% زيادة</w:t>
            </w:r>
          </w:p>
        </w:tc>
        <w:tc>
          <w:tcPr>
            <w:tcW w:type="dxa" w:w="2016"/>
            <w:vAlign w:val="center"/>
          </w:tcPr>
          <w:p>
            <w:pPr>
              <w:jc w:val="right"/>
              <w:bidi w:val="1"/>
            </w:pPr>
            <w:r>
              <w:rPr>
                <w:rtl w:val="1"/>
              </w:rPr>
              <w:t>سجلات البحوث</w:t>
            </w:r>
          </w:p>
        </w:tc>
        <w:tc>
          <w:tcPr>
            <w:tcW w:type="dxa" w:w="2016"/>
            <w:vAlign w:val="center"/>
          </w:tcPr>
          <w:p>
            <w:pPr>
              <w:jc w:val="right"/>
              <w:bidi w:val="1"/>
            </w:pPr>
            <w:r>
              <w:rPr>
                <w:rtl w:val="1"/>
              </w:rPr>
              <w:t>اللجنة العلمية</w:t>
            </w:r>
          </w:p>
        </w:tc>
      </w:tr>
      <w:tr>
        <w:tc>
          <w:tcPr>
            <w:tcW w:type="dxa" w:w="2016"/>
            <w:vAlign w:val="center"/>
          </w:tcPr>
          <w:p>
            <w:pPr>
              <w:jc w:val="right"/>
              <w:bidi w:val="1"/>
            </w:pPr>
            <w:r>
              <w:rPr>
                <w:rtl w:val="1"/>
              </w:rPr>
              <w:t>ريادة الأعمال</w:t>
            </w:r>
          </w:p>
        </w:tc>
        <w:tc>
          <w:tcPr>
            <w:tcW w:type="dxa" w:w="2016"/>
            <w:vAlign w:val="center"/>
          </w:tcPr>
          <w:p>
            <w:pPr>
              <w:jc w:val="right"/>
              <w:bidi w:val="1"/>
            </w:pPr>
            <w:r>
              <w:rPr>
                <w:rtl w:val="1"/>
              </w:rPr>
              <w:t>أنشطة أو مشاريع طلابية تطبيقية سنوياً</w:t>
            </w:r>
          </w:p>
        </w:tc>
        <w:tc>
          <w:tcPr>
            <w:tcW w:type="dxa" w:w="2016"/>
            <w:vAlign w:val="center"/>
          </w:tcPr>
          <w:p>
            <w:pPr>
              <w:jc w:val="right"/>
              <w:bidi w:val="1"/>
            </w:pPr>
            <w:r>
              <w:rPr>
                <w:rtl w:val="1"/>
              </w:rPr>
              <w:t>5 على الأقل</w:t>
            </w:r>
          </w:p>
        </w:tc>
        <w:tc>
          <w:tcPr>
            <w:tcW w:type="dxa" w:w="2016"/>
            <w:vAlign w:val="center"/>
          </w:tcPr>
          <w:p>
            <w:pPr>
              <w:jc w:val="right"/>
              <w:bidi w:val="1"/>
            </w:pPr>
            <w:r>
              <w:rPr>
                <w:rtl w:val="1"/>
              </w:rPr>
              <w:t>تقارير الأنشطة</w:t>
            </w:r>
          </w:p>
        </w:tc>
        <w:tc>
          <w:tcPr>
            <w:tcW w:type="dxa" w:w="2016"/>
            <w:vAlign w:val="center"/>
          </w:tcPr>
          <w:p>
            <w:pPr>
              <w:jc w:val="right"/>
              <w:bidi w:val="1"/>
            </w:pPr>
            <w:r>
              <w:rPr>
                <w:rtl w:val="1"/>
              </w:rPr>
              <w:t>لجنة النشاط الطلابي</w:t>
            </w:r>
          </w:p>
        </w:tc>
      </w:tr>
    </w:tbl>
    <w:p/>
    <w:p>
      <w:pPr>
        <w:pStyle w:val="Heading1"/>
      </w:pPr>
      <w:r>
        <w:t>7. الجدول الزمني العام</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shd w:fill="1F4E79"/>
          </w:tcPr>
          <w:p>
            <w:pPr>
              <w:jc w:val="center"/>
              <w:bidi w:val="1"/>
            </w:pPr>
            <w:r>
              <w:rPr>
                <w:b/>
                <w:color w:val="FFFFFF"/>
                <w:rtl w:val="1"/>
              </w:rPr>
              <w:t>السنة</w:t>
            </w:r>
          </w:p>
        </w:tc>
        <w:tc>
          <w:tcPr>
            <w:tcW w:type="dxa" w:w="2520"/>
            <w:shd w:fill="1F4E79"/>
          </w:tcPr>
          <w:p>
            <w:pPr>
              <w:jc w:val="center"/>
              <w:bidi w:val="1"/>
            </w:pPr>
            <w:r>
              <w:rPr>
                <w:b/>
                <w:color w:val="FFFFFF"/>
                <w:rtl w:val="1"/>
              </w:rPr>
              <w:t>الأولوية</w:t>
            </w:r>
          </w:p>
        </w:tc>
        <w:tc>
          <w:tcPr>
            <w:tcW w:type="dxa" w:w="2520"/>
            <w:shd w:fill="1F4E79"/>
          </w:tcPr>
          <w:p>
            <w:pPr>
              <w:jc w:val="center"/>
              <w:bidi w:val="1"/>
            </w:pPr>
            <w:r>
              <w:rPr>
                <w:b/>
                <w:color w:val="FFFFFF"/>
                <w:rtl w:val="1"/>
              </w:rPr>
              <w:t>الأنشطة الرئيسة</w:t>
            </w:r>
          </w:p>
        </w:tc>
        <w:tc>
          <w:tcPr>
            <w:tcW w:type="dxa" w:w="2520"/>
            <w:shd w:fill="1F4E79"/>
          </w:tcPr>
          <w:p>
            <w:pPr>
              <w:jc w:val="center"/>
              <w:bidi w:val="1"/>
            </w:pPr>
            <w:r>
              <w:rPr>
                <w:b/>
                <w:color w:val="FFFFFF"/>
                <w:rtl w:val="1"/>
              </w:rPr>
              <w:t>المخرج المتوقع</w:t>
            </w:r>
          </w:p>
        </w:tc>
      </w:tr>
      <w:tr>
        <w:tc>
          <w:tcPr>
            <w:tcW w:type="dxa" w:w="2520"/>
            <w:vAlign w:val="center"/>
          </w:tcPr>
          <w:p>
            <w:pPr>
              <w:jc w:val="right"/>
              <w:bidi w:val="1"/>
            </w:pPr>
            <w:r>
              <w:rPr>
                <w:rtl w:val="1"/>
              </w:rPr>
              <w:t>2026</w:t>
            </w:r>
          </w:p>
        </w:tc>
        <w:tc>
          <w:tcPr>
            <w:tcW w:type="dxa" w:w="2520"/>
            <w:vAlign w:val="center"/>
          </w:tcPr>
          <w:p>
            <w:pPr>
              <w:jc w:val="right"/>
              <w:bidi w:val="1"/>
            </w:pPr>
            <w:r>
              <w:rPr>
                <w:rtl w:val="1"/>
              </w:rPr>
              <w:t>التأسيس والتقييم</w:t>
            </w:r>
          </w:p>
        </w:tc>
        <w:tc>
          <w:tcPr>
            <w:tcW w:type="dxa" w:w="2520"/>
            <w:vAlign w:val="center"/>
          </w:tcPr>
          <w:p>
            <w:pPr>
              <w:jc w:val="right"/>
              <w:bidi w:val="1"/>
            </w:pPr>
            <w:r>
              <w:rPr>
                <w:rtl w:val="1"/>
              </w:rPr>
              <w:t>تشكيل اللجان؛ جمع خط الأساس؛ تقييم البرامج والاحتياجات والمخاطر.</w:t>
            </w:r>
          </w:p>
        </w:tc>
        <w:tc>
          <w:tcPr>
            <w:tcW w:type="dxa" w:w="2520"/>
            <w:vAlign w:val="center"/>
          </w:tcPr>
          <w:p>
            <w:pPr>
              <w:jc w:val="right"/>
              <w:bidi w:val="1"/>
            </w:pPr>
            <w:r>
              <w:rPr>
                <w:rtl w:val="1"/>
              </w:rPr>
              <w:t>تقرير خط أساس وخطة تشغيلية.</w:t>
            </w:r>
          </w:p>
        </w:tc>
      </w:tr>
      <w:tr>
        <w:tc>
          <w:tcPr>
            <w:tcW w:type="dxa" w:w="2520"/>
            <w:vAlign w:val="center"/>
          </w:tcPr>
          <w:p>
            <w:pPr>
              <w:jc w:val="right"/>
              <w:bidi w:val="1"/>
            </w:pPr>
            <w:r>
              <w:rPr>
                <w:rtl w:val="1"/>
              </w:rPr>
              <w:t>2027</w:t>
            </w:r>
          </w:p>
        </w:tc>
        <w:tc>
          <w:tcPr>
            <w:tcW w:type="dxa" w:w="2520"/>
            <w:vAlign w:val="center"/>
          </w:tcPr>
          <w:p>
            <w:pPr>
              <w:jc w:val="right"/>
              <w:bidi w:val="1"/>
            </w:pPr>
            <w:r>
              <w:rPr>
                <w:rtl w:val="1"/>
              </w:rPr>
              <w:t>التطوير</w:t>
            </w:r>
          </w:p>
        </w:tc>
        <w:tc>
          <w:tcPr>
            <w:tcW w:type="dxa" w:w="2520"/>
            <w:vAlign w:val="center"/>
          </w:tcPr>
          <w:p>
            <w:pPr>
              <w:jc w:val="right"/>
              <w:bidi w:val="1"/>
            </w:pPr>
            <w:r>
              <w:rPr>
                <w:rtl w:val="1"/>
              </w:rPr>
              <w:t>تحديث البرامج؛ التدريب؛ معالجة الأولويات؛ تفعيل مؤشرات الأداء.</w:t>
            </w:r>
          </w:p>
        </w:tc>
        <w:tc>
          <w:tcPr>
            <w:tcW w:type="dxa" w:w="2520"/>
            <w:vAlign w:val="center"/>
          </w:tcPr>
          <w:p>
            <w:pPr>
              <w:jc w:val="right"/>
              <w:bidi w:val="1"/>
            </w:pPr>
            <w:r>
              <w:rPr>
                <w:rtl w:val="1"/>
              </w:rPr>
              <w:t>برامج مطورة وتقارير متابعة.</w:t>
            </w:r>
          </w:p>
        </w:tc>
      </w:tr>
      <w:tr>
        <w:tc>
          <w:tcPr>
            <w:tcW w:type="dxa" w:w="2520"/>
            <w:vAlign w:val="center"/>
          </w:tcPr>
          <w:p>
            <w:pPr>
              <w:jc w:val="right"/>
              <w:bidi w:val="1"/>
            </w:pPr>
            <w:r>
              <w:rPr>
                <w:rtl w:val="1"/>
              </w:rPr>
              <w:t>2028</w:t>
            </w:r>
          </w:p>
        </w:tc>
        <w:tc>
          <w:tcPr>
            <w:tcW w:type="dxa" w:w="2520"/>
            <w:vAlign w:val="center"/>
          </w:tcPr>
          <w:p>
            <w:pPr>
              <w:jc w:val="right"/>
              <w:bidi w:val="1"/>
            </w:pPr>
            <w:r>
              <w:rPr>
                <w:rtl w:val="1"/>
              </w:rPr>
              <w:t>التوسع والمراجعة</w:t>
            </w:r>
          </w:p>
        </w:tc>
        <w:tc>
          <w:tcPr>
            <w:tcW w:type="dxa" w:w="2520"/>
            <w:vAlign w:val="center"/>
          </w:tcPr>
          <w:p>
            <w:pPr>
              <w:jc w:val="right"/>
              <w:bidi w:val="1"/>
            </w:pPr>
            <w:r>
              <w:rPr>
                <w:rtl w:val="1"/>
              </w:rPr>
              <w:t>توسيع الشراكات والمبادرات؛ مراجعة منتصف المدة؛ معالجة الفجوات.</w:t>
            </w:r>
          </w:p>
        </w:tc>
        <w:tc>
          <w:tcPr>
            <w:tcW w:type="dxa" w:w="2520"/>
            <w:vAlign w:val="center"/>
          </w:tcPr>
          <w:p>
            <w:pPr>
              <w:jc w:val="right"/>
              <w:bidi w:val="1"/>
            </w:pPr>
            <w:r>
              <w:rPr>
                <w:rtl w:val="1"/>
              </w:rPr>
              <w:t>تقرير منتصف المدة وخطة تصحيح.</w:t>
            </w:r>
          </w:p>
        </w:tc>
      </w:tr>
      <w:tr>
        <w:tc>
          <w:tcPr>
            <w:tcW w:type="dxa" w:w="2520"/>
            <w:vAlign w:val="center"/>
          </w:tcPr>
          <w:p>
            <w:pPr>
              <w:jc w:val="right"/>
              <w:bidi w:val="1"/>
            </w:pPr>
            <w:r>
              <w:rPr>
                <w:rtl w:val="1"/>
              </w:rPr>
              <w:t>2029</w:t>
            </w:r>
          </w:p>
        </w:tc>
        <w:tc>
          <w:tcPr>
            <w:tcW w:type="dxa" w:w="2520"/>
            <w:vAlign w:val="center"/>
          </w:tcPr>
          <w:p>
            <w:pPr>
              <w:jc w:val="right"/>
              <w:bidi w:val="1"/>
            </w:pPr>
            <w:r>
              <w:rPr>
                <w:rtl w:val="1"/>
              </w:rPr>
              <w:t>الجودة والتحسين</w:t>
            </w:r>
          </w:p>
        </w:tc>
        <w:tc>
          <w:tcPr>
            <w:tcW w:type="dxa" w:w="2520"/>
            <w:vAlign w:val="center"/>
          </w:tcPr>
          <w:p>
            <w:pPr>
              <w:jc w:val="right"/>
              <w:bidi w:val="1"/>
            </w:pPr>
            <w:r>
              <w:rPr>
                <w:rtl w:val="1"/>
              </w:rPr>
              <w:t>استكمال الأدلة؛ تقييم التنفيذ؛ توثيق التحسينات.</w:t>
            </w:r>
          </w:p>
        </w:tc>
        <w:tc>
          <w:tcPr>
            <w:tcW w:type="dxa" w:w="2520"/>
            <w:vAlign w:val="center"/>
          </w:tcPr>
          <w:p>
            <w:pPr>
              <w:jc w:val="right"/>
              <w:bidi w:val="1"/>
            </w:pPr>
            <w:r>
              <w:rPr>
                <w:rtl w:val="1"/>
              </w:rPr>
              <w:t>ملفات جودة وخطط تحسين.</w:t>
            </w:r>
          </w:p>
        </w:tc>
      </w:tr>
      <w:tr>
        <w:tc>
          <w:tcPr>
            <w:tcW w:type="dxa" w:w="2520"/>
            <w:vAlign w:val="center"/>
          </w:tcPr>
          <w:p>
            <w:pPr>
              <w:jc w:val="right"/>
              <w:bidi w:val="1"/>
            </w:pPr>
            <w:r>
              <w:rPr>
                <w:rtl w:val="1"/>
              </w:rPr>
              <w:t>2030</w:t>
            </w:r>
          </w:p>
        </w:tc>
        <w:tc>
          <w:tcPr>
            <w:tcW w:type="dxa" w:w="2520"/>
            <w:vAlign w:val="center"/>
          </w:tcPr>
          <w:p>
            <w:pPr>
              <w:jc w:val="right"/>
              <w:bidi w:val="1"/>
            </w:pPr>
            <w:r>
              <w:rPr>
                <w:rtl w:val="1"/>
              </w:rPr>
              <w:t>التقييم والتجديد</w:t>
            </w:r>
          </w:p>
        </w:tc>
        <w:tc>
          <w:tcPr>
            <w:tcW w:type="dxa" w:w="2520"/>
            <w:vAlign w:val="center"/>
          </w:tcPr>
          <w:p>
            <w:pPr>
              <w:jc w:val="right"/>
              <w:bidi w:val="1"/>
            </w:pPr>
            <w:r>
              <w:rPr>
                <w:rtl w:val="1"/>
              </w:rPr>
              <w:t>قياس النتائج والأثر؛ توثيق الدروس المستفادة.</w:t>
            </w:r>
          </w:p>
        </w:tc>
        <w:tc>
          <w:tcPr>
            <w:tcW w:type="dxa" w:w="2520"/>
            <w:vAlign w:val="center"/>
          </w:tcPr>
          <w:p>
            <w:pPr>
              <w:jc w:val="right"/>
              <w:bidi w:val="1"/>
            </w:pPr>
            <w:r>
              <w:rPr>
                <w:rtl w:val="1"/>
              </w:rPr>
              <w:t>تقرير ختامي ومسودة الخطة التالية.</w:t>
            </w:r>
          </w:p>
        </w:tc>
      </w:tr>
    </w:tbl>
    <w:p/>
    <w:p>
      <w:pPr>
        <w:pStyle w:val="Heading1"/>
      </w:pPr>
      <w:r>
        <w:t>8. الحوكمة وتوزيع المسؤوليات</w:t>
      </w:r>
    </w:p>
    <w:p>
      <w:pPr>
        <w:jc w:val="right"/>
        <w:bidi w:val="1"/>
      </w:pPr>
      <w:r>
        <w:rPr>
          <w:b w:val="0"/>
          <w:rtl w:val="1"/>
        </w:rPr>
        <w:t>تُشكّل لجنة لمتابعة الخطة برئاسة عميد الكلية وعضوية معاون العميد ورؤساء الأقسام ومسؤول ضمان الجودة وممثلين عن الوحدات ذات الصلة. وتُحدد المسؤوليات النهائية بقرار إداري.</w:t>
      </w:r>
    </w:p>
    <w:p>
      <w:pPr>
        <w:pStyle w:val="ListBullet"/>
        <w:jc w:val="right"/>
        <w:bidi w:val="1"/>
      </w:pPr>
      <w:r>
        <w:rPr>
          <w:rtl w:val="1"/>
        </w:rPr>
        <w:t>عميد الكلية: الإشراف العام وإقرار الأولويات ورفع التقارير.</w:t>
      </w:r>
    </w:p>
    <w:p>
      <w:pPr>
        <w:pStyle w:val="ListBullet"/>
        <w:jc w:val="right"/>
        <w:bidi w:val="1"/>
      </w:pPr>
      <w:r>
        <w:rPr>
          <w:rtl w:val="1"/>
        </w:rPr>
        <w:t>اللجنة الاستراتيجية: متابعة التنفيذ ومراجعة المؤشرات وتنسيق الخطط التشغيلية.</w:t>
      </w:r>
    </w:p>
    <w:p>
      <w:pPr>
        <w:pStyle w:val="ListBullet"/>
        <w:jc w:val="right"/>
        <w:bidi w:val="1"/>
      </w:pPr>
      <w:r>
        <w:rPr>
          <w:rtl w:val="1"/>
        </w:rPr>
        <w:t>رؤساء الأقسام: تنفيذ المبادرات وجمع بيانات الإنجاز.</w:t>
      </w:r>
    </w:p>
    <w:p>
      <w:pPr>
        <w:pStyle w:val="ListBullet"/>
        <w:jc w:val="right"/>
        <w:bidi w:val="1"/>
      </w:pPr>
      <w:r>
        <w:rPr>
          <w:rtl w:val="1"/>
        </w:rPr>
        <w:t>مسؤول ضمان الجودة: توثيق الأدلة ومتابعة التحسين المستمر.</w:t>
      </w:r>
    </w:p>
    <w:p>
      <w:pPr>
        <w:pStyle w:val="ListBullet"/>
        <w:jc w:val="right"/>
        <w:bidi w:val="1"/>
      </w:pPr>
      <w:r>
        <w:rPr>
          <w:rtl w:val="1"/>
        </w:rPr>
        <w:t>مسؤولو المختبرات أو الأنظمة ذات الصلة: متابعة الجاهزية والصيانة والسلامة أو البنية الرقمية.</w:t>
      </w:r>
    </w:p>
    <w:p>
      <w:pPr>
        <w:pStyle w:val="ListBullet"/>
        <w:jc w:val="right"/>
        <w:bidi w:val="1"/>
      </w:pPr>
      <w:r>
        <w:rPr>
          <w:rtl w:val="1"/>
        </w:rPr>
        <w:t>الوحدات الإدارية والمالية: تقدير الموارد ومتابعة الاحتياجات وفق الأصول.</w:t>
      </w:r>
    </w:p>
    <w:p>
      <w:pPr>
        <w:pStyle w:val="Heading1"/>
      </w:pPr>
      <w:r>
        <w:t>9. المتابعة والتقييم</w:t>
      </w:r>
    </w:p>
    <w:p>
      <w:pPr>
        <w:jc w:val="right"/>
        <w:bidi w:val="1"/>
      </w:pPr>
      <w:r>
        <w:rPr>
          <w:b w:val="0"/>
          <w:rtl w:val="1"/>
        </w:rPr>
        <w:t>تُراجع مؤشرات الأداء فصلياً، وتُعد الأقسام تقارير تتضمن المستهدف والنتيجة الفعلية والأدلة والمعوقات والإجراءات التصحيحية. ويُرفع تقرير سنوي إلى عمادة الكلية ورئاسة الجامعة، مع مراجعة منتصف المدة في 2028 وتقييم ختامي في 2030.</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shd w:fill="1F4E79"/>
          </w:tcPr>
          <w:p>
            <w:pPr>
              <w:jc w:val="center"/>
              <w:bidi w:val="1"/>
            </w:pPr>
            <w:r>
              <w:rPr>
                <w:b/>
                <w:color w:val="FFFFFF"/>
                <w:rtl w:val="1"/>
              </w:rPr>
              <w:t>النشاط</w:t>
            </w:r>
          </w:p>
        </w:tc>
        <w:tc>
          <w:tcPr>
            <w:tcW w:type="dxa" w:w="2520"/>
            <w:shd w:fill="1F4E79"/>
          </w:tcPr>
          <w:p>
            <w:pPr>
              <w:jc w:val="center"/>
              <w:bidi w:val="1"/>
            </w:pPr>
            <w:r>
              <w:rPr>
                <w:b/>
                <w:color w:val="FFFFFF"/>
                <w:rtl w:val="1"/>
              </w:rPr>
              <w:t>التكرار</w:t>
            </w:r>
          </w:p>
        </w:tc>
        <w:tc>
          <w:tcPr>
            <w:tcW w:type="dxa" w:w="2520"/>
            <w:shd w:fill="1F4E79"/>
          </w:tcPr>
          <w:p>
            <w:pPr>
              <w:jc w:val="center"/>
              <w:bidi w:val="1"/>
            </w:pPr>
            <w:r>
              <w:rPr>
                <w:b/>
                <w:color w:val="FFFFFF"/>
                <w:rtl w:val="1"/>
              </w:rPr>
              <w:t>المسؤول</w:t>
            </w:r>
          </w:p>
        </w:tc>
        <w:tc>
          <w:tcPr>
            <w:tcW w:type="dxa" w:w="2520"/>
            <w:shd w:fill="1F4E79"/>
          </w:tcPr>
          <w:p>
            <w:pPr>
              <w:jc w:val="center"/>
              <w:bidi w:val="1"/>
            </w:pPr>
            <w:r>
              <w:rPr>
                <w:b/>
                <w:color w:val="FFFFFF"/>
                <w:rtl w:val="1"/>
              </w:rPr>
              <w:t>المخرج</w:t>
            </w:r>
          </w:p>
        </w:tc>
      </w:tr>
      <w:tr>
        <w:tc>
          <w:tcPr>
            <w:tcW w:type="dxa" w:w="2520"/>
            <w:vAlign w:val="center"/>
          </w:tcPr>
          <w:p>
            <w:pPr>
              <w:jc w:val="right"/>
              <w:bidi w:val="1"/>
            </w:pPr>
            <w:r>
              <w:rPr>
                <w:rtl w:val="1"/>
              </w:rPr>
              <w:t>تحديث المؤشرات</w:t>
            </w:r>
          </w:p>
        </w:tc>
        <w:tc>
          <w:tcPr>
            <w:tcW w:type="dxa" w:w="2520"/>
            <w:vAlign w:val="center"/>
          </w:tcPr>
          <w:p>
            <w:pPr>
              <w:jc w:val="right"/>
              <w:bidi w:val="1"/>
            </w:pPr>
            <w:r>
              <w:rPr>
                <w:rtl w:val="1"/>
              </w:rPr>
              <w:t>فصلي</w:t>
            </w:r>
          </w:p>
        </w:tc>
        <w:tc>
          <w:tcPr>
            <w:tcW w:type="dxa" w:w="2520"/>
            <w:vAlign w:val="center"/>
          </w:tcPr>
          <w:p>
            <w:pPr>
              <w:jc w:val="right"/>
              <w:bidi w:val="1"/>
            </w:pPr>
            <w:r>
              <w:rPr>
                <w:rtl w:val="1"/>
              </w:rPr>
              <w:t>الأقسام والوحدات</w:t>
            </w:r>
          </w:p>
        </w:tc>
        <w:tc>
          <w:tcPr>
            <w:tcW w:type="dxa" w:w="2520"/>
            <w:vAlign w:val="center"/>
          </w:tcPr>
          <w:p>
            <w:pPr>
              <w:jc w:val="right"/>
              <w:bidi w:val="1"/>
            </w:pPr>
            <w:r>
              <w:rPr>
                <w:rtl w:val="1"/>
              </w:rPr>
              <w:t>سجل مؤشرات محدث</w:t>
            </w:r>
          </w:p>
        </w:tc>
      </w:tr>
      <w:tr>
        <w:tc>
          <w:tcPr>
            <w:tcW w:type="dxa" w:w="2520"/>
            <w:vAlign w:val="center"/>
          </w:tcPr>
          <w:p>
            <w:pPr>
              <w:jc w:val="right"/>
              <w:bidi w:val="1"/>
            </w:pPr>
            <w:r>
              <w:rPr>
                <w:rtl w:val="1"/>
              </w:rPr>
              <w:t>اجتماع لجنة الخطة</w:t>
            </w:r>
          </w:p>
        </w:tc>
        <w:tc>
          <w:tcPr>
            <w:tcW w:type="dxa" w:w="2520"/>
            <w:vAlign w:val="center"/>
          </w:tcPr>
          <w:p>
            <w:pPr>
              <w:jc w:val="right"/>
              <w:bidi w:val="1"/>
            </w:pPr>
            <w:r>
              <w:rPr>
                <w:rtl w:val="1"/>
              </w:rPr>
              <w:t>فصلي</w:t>
            </w:r>
          </w:p>
        </w:tc>
        <w:tc>
          <w:tcPr>
            <w:tcW w:type="dxa" w:w="2520"/>
            <w:vAlign w:val="center"/>
          </w:tcPr>
          <w:p>
            <w:pPr>
              <w:jc w:val="right"/>
              <w:bidi w:val="1"/>
            </w:pPr>
            <w:r>
              <w:rPr>
                <w:rtl w:val="1"/>
              </w:rPr>
              <w:t>اللجنة الاستراتيجية</w:t>
            </w:r>
          </w:p>
        </w:tc>
        <w:tc>
          <w:tcPr>
            <w:tcW w:type="dxa" w:w="2520"/>
            <w:vAlign w:val="center"/>
          </w:tcPr>
          <w:p>
            <w:pPr>
              <w:jc w:val="right"/>
              <w:bidi w:val="1"/>
            </w:pPr>
            <w:r>
              <w:rPr>
                <w:rtl w:val="1"/>
              </w:rPr>
              <w:t>محضر قرارات ومهام</w:t>
            </w:r>
          </w:p>
        </w:tc>
      </w:tr>
      <w:tr>
        <w:tc>
          <w:tcPr>
            <w:tcW w:type="dxa" w:w="2520"/>
            <w:vAlign w:val="center"/>
          </w:tcPr>
          <w:p>
            <w:pPr>
              <w:jc w:val="right"/>
              <w:bidi w:val="1"/>
            </w:pPr>
            <w:r>
              <w:rPr>
                <w:rtl w:val="1"/>
              </w:rPr>
              <w:t>تقرير الإنجاز</w:t>
            </w:r>
          </w:p>
        </w:tc>
        <w:tc>
          <w:tcPr>
            <w:tcW w:type="dxa" w:w="2520"/>
            <w:vAlign w:val="center"/>
          </w:tcPr>
          <w:p>
            <w:pPr>
              <w:jc w:val="right"/>
              <w:bidi w:val="1"/>
            </w:pPr>
            <w:r>
              <w:rPr>
                <w:rtl w:val="1"/>
              </w:rPr>
              <w:t>سنوي</w:t>
            </w:r>
          </w:p>
        </w:tc>
        <w:tc>
          <w:tcPr>
            <w:tcW w:type="dxa" w:w="2520"/>
            <w:vAlign w:val="center"/>
          </w:tcPr>
          <w:p>
            <w:pPr>
              <w:jc w:val="right"/>
              <w:bidi w:val="1"/>
            </w:pPr>
            <w:r>
              <w:rPr>
                <w:rtl w:val="1"/>
              </w:rPr>
              <w:t>عمادة الكلية</w:t>
            </w:r>
          </w:p>
        </w:tc>
        <w:tc>
          <w:tcPr>
            <w:tcW w:type="dxa" w:w="2520"/>
            <w:vAlign w:val="center"/>
          </w:tcPr>
          <w:p>
            <w:pPr>
              <w:jc w:val="right"/>
              <w:bidi w:val="1"/>
            </w:pPr>
            <w:r>
              <w:rPr>
                <w:rtl w:val="1"/>
              </w:rPr>
              <w:t>تقرير رسمي موثق</w:t>
            </w:r>
          </w:p>
        </w:tc>
      </w:tr>
      <w:tr>
        <w:tc>
          <w:tcPr>
            <w:tcW w:type="dxa" w:w="2520"/>
            <w:vAlign w:val="center"/>
          </w:tcPr>
          <w:p>
            <w:pPr>
              <w:jc w:val="right"/>
              <w:bidi w:val="1"/>
            </w:pPr>
            <w:r>
              <w:rPr>
                <w:rtl w:val="1"/>
              </w:rPr>
              <w:t>مراجعة منتصف المدة</w:t>
            </w:r>
          </w:p>
        </w:tc>
        <w:tc>
          <w:tcPr>
            <w:tcW w:type="dxa" w:w="2520"/>
            <w:vAlign w:val="center"/>
          </w:tcPr>
          <w:p>
            <w:pPr>
              <w:jc w:val="right"/>
              <w:bidi w:val="1"/>
            </w:pPr>
            <w:r>
              <w:rPr>
                <w:rtl w:val="1"/>
              </w:rPr>
              <w:t>2028</w:t>
            </w:r>
          </w:p>
        </w:tc>
        <w:tc>
          <w:tcPr>
            <w:tcW w:type="dxa" w:w="2520"/>
            <w:vAlign w:val="center"/>
          </w:tcPr>
          <w:p>
            <w:pPr>
              <w:jc w:val="right"/>
              <w:bidi w:val="1"/>
            </w:pPr>
            <w:r>
              <w:rPr>
                <w:rtl w:val="1"/>
              </w:rPr>
              <w:t>اللجنة العليا</w:t>
            </w:r>
          </w:p>
        </w:tc>
        <w:tc>
          <w:tcPr>
            <w:tcW w:type="dxa" w:w="2520"/>
            <w:vAlign w:val="center"/>
          </w:tcPr>
          <w:p>
            <w:pPr>
              <w:jc w:val="right"/>
              <w:bidi w:val="1"/>
            </w:pPr>
            <w:r>
              <w:rPr>
                <w:rtl w:val="1"/>
              </w:rPr>
              <w:t>تحليل فجوات وخطة تصحيح</w:t>
            </w:r>
          </w:p>
        </w:tc>
      </w:tr>
      <w:tr>
        <w:tc>
          <w:tcPr>
            <w:tcW w:type="dxa" w:w="2520"/>
            <w:vAlign w:val="center"/>
          </w:tcPr>
          <w:p>
            <w:pPr>
              <w:jc w:val="right"/>
              <w:bidi w:val="1"/>
            </w:pPr>
            <w:r>
              <w:rPr>
                <w:rtl w:val="1"/>
              </w:rPr>
              <w:t>التقييم الختامي</w:t>
            </w:r>
          </w:p>
        </w:tc>
        <w:tc>
          <w:tcPr>
            <w:tcW w:type="dxa" w:w="2520"/>
            <w:vAlign w:val="center"/>
          </w:tcPr>
          <w:p>
            <w:pPr>
              <w:jc w:val="right"/>
              <w:bidi w:val="1"/>
            </w:pPr>
            <w:r>
              <w:rPr>
                <w:rtl w:val="1"/>
              </w:rPr>
              <w:t>2030</w:t>
            </w:r>
          </w:p>
        </w:tc>
        <w:tc>
          <w:tcPr>
            <w:tcW w:type="dxa" w:w="2520"/>
            <w:vAlign w:val="center"/>
          </w:tcPr>
          <w:p>
            <w:pPr>
              <w:jc w:val="right"/>
              <w:bidi w:val="1"/>
            </w:pPr>
            <w:r>
              <w:rPr>
                <w:rtl w:val="1"/>
              </w:rPr>
              <w:t>العمادة واللجنة العليا</w:t>
            </w:r>
          </w:p>
        </w:tc>
        <w:tc>
          <w:tcPr>
            <w:tcW w:type="dxa" w:w="2520"/>
            <w:vAlign w:val="center"/>
          </w:tcPr>
          <w:p>
            <w:pPr>
              <w:jc w:val="right"/>
              <w:bidi w:val="1"/>
            </w:pPr>
            <w:r>
              <w:rPr>
                <w:rtl w:val="1"/>
              </w:rPr>
              <w:t>تقرير أثر وتوصيات</w:t>
            </w:r>
          </w:p>
        </w:tc>
      </w:tr>
    </w:tbl>
    <w:p/>
    <w:p>
      <w:pPr>
        <w:pStyle w:val="Heading1"/>
      </w:pPr>
      <w:r>
        <w:t>10. إدارة المخاطر</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1F4E79"/>
          </w:tcPr>
          <w:p>
            <w:pPr>
              <w:jc w:val="center"/>
              <w:bidi w:val="1"/>
            </w:pPr>
            <w:r>
              <w:rPr>
                <w:b/>
                <w:color w:val="FFFFFF"/>
                <w:rtl w:val="1"/>
              </w:rPr>
              <w:t>الخطر المحتمل</w:t>
            </w:r>
          </w:p>
        </w:tc>
        <w:tc>
          <w:tcPr>
            <w:tcW w:type="dxa" w:w="3360"/>
            <w:shd w:fill="1F4E79"/>
          </w:tcPr>
          <w:p>
            <w:pPr>
              <w:jc w:val="center"/>
              <w:bidi w:val="1"/>
            </w:pPr>
            <w:r>
              <w:rPr>
                <w:b/>
                <w:color w:val="FFFFFF"/>
                <w:rtl w:val="1"/>
              </w:rPr>
              <w:t>الأثر</w:t>
            </w:r>
          </w:p>
        </w:tc>
        <w:tc>
          <w:tcPr>
            <w:tcW w:type="dxa" w:w="3360"/>
            <w:shd w:fill="1F4E79"/>
          </w:tcPr>
          <w:p>
            <w:pPr>
              <w:jc w:val="center"/>
              <w:bidi w:val="1"/>
            </w:pPr>
            <w:r>
              <w:rPr>
                <w:b/>
                <w:color w:val="FFFFFF"/>
                <w:rtl w:val="1"/>
              </w:rPr>
              <w:t>إجراء المعالجة</w:t>
            </w:r>
          </w:p>
        </w:tc>
      </w:tr>
      <w:tr>
        <w:tc>
          <w:tcPr>
            <w:tcW w:type="dxa" w:w="3360"/>
            <w:vAlign w:val="center"/>
          </w:tcPr>
          <w:p>
            <w:pPr>
              <w:jc w:val="right"/>
              <w:bidi w:val="1"/>
            </w:pPr>
            <w:r>
              <w:rPr>
                <w:rtl w:val="1"/>
              </w:rPr>
              <w:t>محدودية التمويل</w:t>
            </w:r>
          </w:p>
        </w:tc>
        <w:tc>
          <w:tcPr>
            <w:tcW w:type="dxa" w:w="3360"/>
            <w:vAlign w:val="center"/>
          </w:tcPr>
          <w:p>
            <w:pPr>
              <w:jc w:val="right"/>
              <w:bidi w:val="1"/>
            </w:pPr>
            <w:r>
              <w:rPr>
                <w:rtl w:val="1"/>
              </w:rPr>
              <w:t>تأخر تنفيذ المبادرات</w:t>
            </w:r>
          </w:p>
        </w:tc>
        <w:tc>
          <w:tcPr>
            <w:tcW w:type="dxa" w:w="3360"/>
            <w:vAlign w:val="center"/>
          </w:tcPr>
          <w:p>
            <w:pPr>
              <w:jc w:val="right"/>
              <w:bidi w:val="1"/>
            </w:pPr>
            <w:r>
              <w:rPr>
                <w:rtl w:val="1"/>
              </w:rPr>
              <w:t>ترتيب الأولويات والتنفيذ المرحلي وتطوير الشراكات.</w:t>
            </w:r>
          </w:p>
        </w:tc>
      </w:tr>
      <w:tr>
        <w:tc>
          <w:tcPr>
            <w:tcW w:type="dxa" w:w="3360"/>
            <w:vAlign w:val="center"/>
          </w:tcPr>
          <w:p>
            <w:pPr>
              <w:jc w:val="right"/>
              <w:bidi w:val="1"/>
            </w:pPr>
            <w:r>
              <w:rPr>
                <w:rtl w:val="1"/>
              </w:rPr>
              <w:t>ضعف البيانات</w:t>
            </w:r>
          </w:p>
        </w:tc>
        <w:tc>
          <w:tcPr>
            <w:tcW w:type="dxa" w:w="3360"/>
            <w:vAlign w:val="center"/>
          </w:tcPr>
          <w:p>
            <w:pPr>
              <w:jc w:val="right"/>
              <w:bidi w:val="1"/>
            </w:pPr>
            <w:r>
              <w:rPr>
                <w:rtl w:val="1"/>
              </w:rPr>
              <w:t>صعوبة قياس الإنجاز</w:t>
            </w:r>
          </w:p>
        </w:tc>
        <w:tc>
          <w:tcPr>
            <w:tcW w:type="dxa" w:w="3360"/>
            <w:vAlign w:val="center"/>
          </w:tcPr>
          <w:p>
            <w:pPr>
              <w:jc w:val="right"/>
              <w:bidi w:val="1"/>
            </w:pPr>
            <w:r>
              <w:rPr>
                <w:rtl w:val="1"/>
              </w:rPr>
              <w:t>توحيد نماذج البيانات وتحديد مسؤول ومواعيد للتحديث.</w:t>
            </w:r>
          </w:p>
        </w:tc>
      </w:tr>
      <w:tr>
        <w:tc>
          <w:tcPr>
            <w:tcW w:type="dxa" w:w="3360"/>
            <w:vAlign w:val="center"/>
          </w:tcPr>
          <w:p>
            <w:pPr>
              <w:jc w:val="right"/>
              <w:bidi w:val="1"/>
            </w:pPr>
            <w:r>
              <w:rPr>
                <w:rtl w:val="1"/>
              </w:rPr>
              <w:t>ضعف المشاركة</w:t>
            </w:r>
          </w:p>
        </w:tc>
        <w:tc>
          <w:tcPr>
            <w:tcW w:type="dxa" w:w="3360"/>
            <w:vAlign w:val="center"/>
          </w:tcPr>
          <w:p>
            <w:pPr>
              <w:jc w:val="right"/>
              <w:bidi w:val="1"/>
            </w:pPr>
            <w:r>
              <w:rPr>
                <w:rtl w:val="1"/>
              </w:rPr>
              <w:t>تأخر الأنشطة</w:t>
            </w:r>
          </w:p>
        </w:tc>
        <w:tc>
          <w:tcPr>
            <w:tcW w:type="dxa" w:w="3360"/>
            <w:vAlign w:val="center"/>
          </w:tcPr>
          <w:p>
            <w:pPr>
              <w:jc w:val="right"/>
              <w:bidi w:val="1"/>
            </w:pPr>
            <w:r>
              <w:rPr>
                <w:rtl w:val="1"/>
              </w:rPr>
              <w:t>تحديد مسؤوليات واضحة ومتابعة دورية.</w:t>
            </w:r>
          </w:p>
        </w:tc>
      </w:tr>
      <w:tr>
        <w:tc>
          <w:tcPr>
            <w:tcW w:type="dxa" w:w="3360"/>
            <w:vAlign w:val="center"/>
          </w:tcPr>
          <w:p>
            <w:pPr>
              <w:jc w:val="right"/>
              <w:bidi w:val="1"/>
            </w:pPr>
            <w:r>
              <w:rPr>
                <w:rtl w:val="1"/>
              </w:rPr>
              <w:t>تغير احتياجات السوق أو المعرفة</w:t>
            </w:r>
          </w:p>
        </w:tc>
        <w:tc>
          <w:tcPr>
            <w:tcW w:type="dxa" w:w="3360"/>
            <w:vAlign w:val="center"/>
          </w:tcPr>
          <w:p>
            <w:pPr>
              <w:jc w:val="right"/>
              <w:bidi w:val="1"/>
            </w:pPr>
            <w:r>
              <w:rPr>
                <w:rtl w:val="1"/>
              </w:rPr>
              <w:t>تقادم بعض المهارات أو المقررات</w:t>
            </w:r>
          </w:p>
        </w:tc>
        <w:tc>
          <w:tcPr>
            <w:tcW w:type="dxa" w:w="3360"/>
            <w:vAlign w:val="center"/>
          </w:tcPr>
          <w:p>
            <w:pPr>
              <w:jc w:val="right"/>
              <w:bidi w:val="1"/>
            </w:pPr>
            <w:r>
              <w:rPr>
                <w:rtl w:val="1"/>
              </w:rPr>
              <w:t>مراجعة البرامج واستطلاع آراء أصحاب المصلحة.</w:t>
            </w:r>
          </w:p>
        </w:tc>
      </w:tr>
      <w:tr>
        <w:tc>
          <w:tcPr>
            <w:tcW w:type="dxa" w:w="3360"/>
            <w:vAlign w:val="center"/>
          </w:tcPr>
          <w:p>
            <w:pPr>
              <w:jc w:val="right"/>
              <w:bidi w:val="1"/>
            </w:pPr>
            <w:r>
              <w:rPr>
                <w:rtl w:val="1"/>
              </w:rPr>
              <w:t>مخاطر السلامة أو أمن البيانات</w:t>
            </w:r>
          </w:p>
        </w:tc>
        <w:tc>
          <w:tcPr>
            <w:tcW w:type="dxa" w:w="3360"/>
            <w:vAlign w:val="center"/>
          </w:tcPr>
          <w:p>
            <w:pPr>
              <w:jc w:val="right"/>
              <w:bidi w:val="1"/>
            </w:pPr>
            <w:r>
              <w:rPr>
                <w:rtl w:val="1"/>
              </w:rPr>
              <w:t>تعطل العمل أو حدوث أضرار</w:t>
            </w:r>
          </w:p>
        </w:tc>
        <w:tc>
          <w:tcPr>
            <w:tcW w:type="dxa" w:w="3360"/>
            <w:vAlign w:val="center"/>
          </w:tcPr>
          <w:p>
            <w:pPr>
              <w:jc w:val="right"/>
              <w:bidi w:val="1"/>
            </w:pPr>
            <w:r>
              <w:rPr>
                <w:rtl w:val="1"/>
              </w:rPr>
              <w:t>تطبيق إجراءات السلامة والنسخ الاحتياطي والتوعية.</w:t>
            </w:r>
          </w:p>
        </w:tc>
      </w:tr>
    </w:tbl>
    <w:p/>
    <w:p>
      <w:pPr>
        <w:pStyle w:val="Heading1"/>
      </w:pPr>
      <w:r>
        <w:t>11. النتائج المتوقعة</w:t>
      </w:r>
    </w:p>
    <w:p>
      <w:pPr>
        <w:pStyle w:val="ListBullet"/>
        <w:jc w:val="right"/>
        <w:bidi w:val="1"/>
      </w:pPr>
      <w:r>
        <w:rPr>
          <w:rtl w:val="1"/>
        </w:rPr>
        <w:t>تحسين جودة التعليم ومخرجات التعلم.</w:t>
      </w:r>
    </w:p>
    <w:p>
      <w:pPr>
        <w:pStyle w:val="ListBullet"/>
        <w:jc w:val="right"/>
        <w:bidi w:val="1"/>
      </w:pPr>
      <w:r>
        <w:rPr>
          <w:rtl w:val="1"/>
        </w:rPr>
        <w:t>تعزيز المهارات العملية والرقمية أو المختبرية بحسب طبيعة الكلية.</w:t>
      </w:r>
    </w:p>
    <w:p>
      <w:pPr>
        <w:pStyle w:val="ListBullet"/>
        <w:jc w:val="right"/>
        <w:bidi w:val="1"/>
      </w:pPr>
      <w:r>
        <w:rPr>
          <w:rtl w:val="1"/>
        </w:rPr>
        <w:t>رفع فاعلية البحث العلمي والتعاون المؤسسي.</w:t>
      </w:r>
    </w:p>
    <w:p>
      <w:pPr>
        <w:pStyle w:val="ListBullet"/>
        <w:jc w:val="right"/>
        <w:bidi w:val="1"/>
      </w:pPr>
      <w:r>
        <w:rPr>
          <w:rtl w:val="1"/>
        </w:rPr>
        <w:t>تحسين توثيق الجودة والتحسين المستمر.</w:t>
      </w:r>
    </w:p>
    <w:p>
      <w:pPr>
        <w:pStyle w:val="ListBullet"/>
        <w:jc w:val="right"/>
        <w:bidi w:val="1"/>
      </w:pPr>
      <w:r>
        <w:rPr>
          <w:rtl w:val="1"/>
        </w:rPr>
        <w:t>توسيع مساهمة الكلية في خدمة المجتمع والتنمية المستدامة.</w:t>
      </w:r>
    </w:p>
    <w:p>
      <w:pPr>
        <w:pStyle w:val="Heading1"/>
      </w:pPr>
      <w:r>
        <w:t>12. اعتماد الخطة</w:t>
      </w:r>
    </w:p>
    <w:p>
      <w:pPr>
        <w:jc w:val="right"/>
        <w:bidi w:val="1"/>
      </w:pPr>
      <w:r>
        <w:rPr>
          <w:b w:val="0"/>
          <w:rtl w:val="1"/>
        </w:rPr>
        <w:t>تُعرض المسودة على مجلس الكلية للمراجعة، ثم تُرفع إلى رئاسة الجامعة لاستكمال إجراءات الاعتماد. وتصبح المستهدفات ملزمة بعد إقرارها رسمياً وتحديد الموارد والجهات المسؤولة.</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1F4E79"/>
          </w:tcPr>
          <w:p>
            <w:pPr>
              <w:jc w:val="center"/>
              <w:bidi w:val="1"/>
            </w:pPr>
            <w:r>
              <w:rPr>
                <w:b/>
                <w:color w:val="FFFFFF"/>
                <w:rtl w:val="1"/>
              </w:rPr>
              <w:t>الجهة</w:t>
            </w:r>
          </w:p>
        </w:tc>
        <w:tc>
          <w:tcPr>
            <w:tcW w:type="dxa" w:w="3360"/>
            <w:shd w:fill="1F4E79"/>
          </w:tcPr>
          <w:p>
            <w:pPr>
              <w:jc w:val="center"/>
              <w:bidi w:val="1"/>
            </w:pPr>
            <w:r>
              <w:rPr>
                <w:b/>
                <w:color w:val="FFFFFF"/>
                <w:rtl w:val="1"/>
              </w:rPr>
              <w:t>الاسم والتوقيع</w:t>
            </w:r>
          </w:p>
        </w:tc>
        <w:tc>
          <w:tcPr>
            <w:tcW w:type="dxa" w:w="3360"/>
            <w:shd w:fill="1F4E79"/>
          </w:tcPr>
          <w:p>
            <w:pPr>
              <w:jc w:val="center"/>
              <w:bidi w:val="1"/>
            </w:pPr>
            <w:r>
              <w:rPr>
                <w:b/>
                <w:color w:val="FFFFFF"/>
                <w:rtl w:val="1"/>
              </w:rPr>
              <w:t>التاريخ</w:t>
            </w:r>
          </w:p>
        </w:tc>
      </w:tr>
      <w:tr>
        <w:tc>
          <w:tcPr>
            <w:tcW w:type="dxa" w:w="3360"/>
            <w:vAlign w:val="center"/>
          </w:tcPr>
          <w:p>
            <w:pPr>
              <w:jc w:val="right"/>
              <w:bidi w:val="1"/>
            </w:pPr>
            <w:r>
              <w:rPr>
                <w:rtl w:val="1"/>
              </w:rPr>
              <w:t>عميد كلية التقنيات الإدارية</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r>
        <w:tc>
          <w:tcPr>
            <w:tcW w:type="dxa" w:w="3360"/>
            <w:vAlign w:val="center"/>
          </w:tcPr>
          <w:p>
            <w:pPr>
              <w:jc w:val="right"/>
              <w:bidi w:val="1"/>
            </w:pPr>
            <w:r>
              <w:rPr>
                <w:rtl w:val="1"/>
              </w:rPr>
              <w:t>رئيس لجنة الخطة الاستراتيجية</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r>
        <w:tc>
          <w:tcPr>
            <w:tcW w:type="dxa" w:w="3360"/>
            <w:vAlign w:val="center"/>
          </w:tcPr>
          <w:p>
            <w:pPr>
              <w:jc w:val="right"/>
              <w:bidi w:val="1"/>
            </w:pPr>
            <w:r>
              <w:rPr>
                <w:rtl w:val="1"/>
              </w:rPr>
              <w:t>رئيس الجامعة / الجهة المخولة</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bl>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